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5327" w14:textId="5C12B937" w:rsidR="004E2A2A" w:rsidRPr="004E2A2A" w:rsidRDefault="004E2A2A" w:rsidP="004E2A2A">
      <w:pPr>
        <w:pStyle w:val="Title"/>
        <w:rPr>
          <w:rStyle w:val="IntenseEmphasis"/>
          <w:i w:val="0"/>
          <w:iCs w:val="0"/>
          <w:color w:val="auto"/>
        </w:rPr>
      </w:pPr>
      <w:r w:rsidRPr="004E2A2A">
        <w:rPr>
          <w:rStyle w:val="IntenseEmphasis"/>
          <w:i w:val="0"/>
          <w:iCs w:val="0"/>
          <w:color w:val="auto"/>
        </w:rPr>
        <w:t xml:space="preserve">Ground Disturbance Standard  </w:t>
      </w:r>
    </w:p>
    <w:p w14:paraId="44E36033" w14:textId="77777777" w:rsidR="004E2A2A" w:rsidRPr="004E2A2A" w:rsidRDefault="004E2A2A" w:rsidP="004E2A2A">
      <w:pPr>
        <w:pStyle w:val="Subtitle"/>
        <w:rPr>
          <w:rStyle w:val="IntenseEmphasis"/>
          <w:i w:val="0"/>
          <w:iCs w:val="0"/>
          <w:color w:val="5A5A5A" w:themeColor="text1" w:themeTint="A5"/>
        </w:rPr>
      </w:pPr>
    </w:p>
    <w:p w14:paraId="428F52A7" w14:textId="393BC438" w:rsidR="004A0B7E" w:rsidRPr="004E2A2A" w:rsidRDefault="004A0B7E" w:rsidP="004E2A2A">
      <w:pPr>
        <w:pStyle w:val="Subtitle"/>
        <w:rPr>
          <w:rStyle w:val="IntenseEmphasis"/>
          <w:i w:val="0"/>
          <w:iCs w:val="0"/>
          <w:color w:val="5A5A5A" w:themeColor="text1" w:themeTint="A5"/>
        </w:rPr>
      </w:pPr>
      <w:r w:rsidRPr="004E2A2A">
        <w:rPr>
          <w:rStyle w:val="IntenseEmphasis"/>
          <w:i w:val="0"/>
          <w:iCs w:val="0"/>
          <w:color w:val="5A5A5A" w:themeColor="text1" w:themeTint="A5"/>
        </w:rPr>
        <w:t>Scope</w:t>
      </w:r>
    </w:p>
    <w:p w14:paraId="7EBE31C1" w14:textId="32AA740E" w:rsidR="0037469A" w:rsidRPr="004A0B7E" w:rsidRDefault="0037469A" w:rsidP="004A0B7E">
      <w:pPr>
        <w:rPr>
          <w:sz w:val="21"/>
          <w:szCs w:val="21"/>
        </w:rPr>
      </w:pPr>
      <w:r w:rsidRPr="004A0B7E">
        <w:rPr>
          <w:sz w:val="21"/>
          <w:szCs w:val="21"/>
        </w:rPr>
        <w:t xml:space="preserve">This following ground disturbance standard focuses on the risk of </w:t>
      </w:r>
      <w:r w:rsidRPr="004A0B7E">
        <w:rPr>
          <w:b/>
          <w:bCs/>
          <w:sz w:val="21"/>
          <w:szCs w:val="21"/>
        </w:rPr>
        <w:t>contact with underground services</w:t>
      </w:r>
      <w:r w:rsidRPr="004A0B7E">
        <w:rPr>
          <w:sz w:val="21"/>
          <w:szCs w:val="21"/>
        </w:rPr>
        <w:t xml:space="preserve"> directly related to excavations (using mechanical or manual methods) and other ground disturbance activities (such as thrusting, directional drilling and piling).  </w:t>
      </w:r>
    </w:p>
    <w:p w14:paraId="72E095EB" w14:textId="1BA85248" w:rsidR="0037469A" w:rsidRPr="004A0B7E" w:rsidRDefault="0037469A" w:rsidP="0037469A">
      <w:pPr>
        <w:rPr>
          <w:sz w:val="21"/>
          <w:szCs w:val="21"/>
        </w:rPr>
      </w:pPr>
      <w:r w:rsidRPr="004A0B7E">
        <w:rPr>
          <w:sz w:val="21"/>
          <w:szCs w:val="21"/>
        </w:rPr>
        <w:t xml:space="preserve">This standard applies to all ground disturbance activities, </w:t>
      </w:r>
      <w:r w:rsidRPr="004A0B7E">
        <w:rPr>
          <w:sz w:val="21"/>
          <w:szCs w:val="21"/>
          <w:u w:val="single"/>
        </w:rPr>
        <w:t>regardless of depth</w:t>
      </w:r>
      <w:r w:rsidRPr="004A0B7E">
        <w:rPr>
          <w:sz w:val="21"/>
          <w:szCs w:val="21"/>
        </w:rPr>
        <w:t>.</w:t>
      </w:r>
    </w:p>
    <w:p w14:paraId="4A42ECE8" w14:textId="1364C362" w:rsidR="004A0B7E" w:rsidRPr="004E2A2A" w:rsidRDefault="004A0B7E" w:rsidP="004E2A2A">
      <w:pPr>
        <w:pStyle w:val="Subtitle"/>
        <w:rPr>
          <w:rStyle w:val="IntenseEmphasis"/>
          <w:i w:val="0"/>
          <w:iCs w:val="0"/>
          <w:color w:val="5A5A5A" w:themeColor="text1" w:themeTint="A5"/>
        </w:rPr>
      </w:pPr>
      <w:r w:rsidRPr="004E2A2A">
        <w:rPr>
          <w:rStyle w:val="IntenseEmphasis"/>
          <w:i w:val="0"/>
          <w:iCs w:val="0"/>
          <w:color w:val="5A5A5A" w:themeColor="text1" w:themeTint="A5"/>
        </w:rPr>
        <w:t>Definitions</w:t>
      </w:r>
    </w:p>
    <w:p w14:paraId="40FA9193" w14:textId="54C5FB34" w:rsidR="0037469A" w:rsidRPr="004A0B7E" w:rsidRDefault="0037469A" w:rsidP="004A0B7E">
      <w:pPr>
        <w:ind w:left="2160" w:hanging="2160"/>
        <w:rPr>
          <w:sz w:val="21"/>
          <w:szCs w:val="21"/>
        </w:rPr>
      </w:pPr>
      <w:r w:rsidRPr="004A0B7E">
        <w:rPr>
          <w:b/>
          <w:bCs/>
          <w:sz w:val="21"/>
          <w:szCs w:val="21"/>
        </w:rPr>
        <w:t xml:space="preserve">Ground </w:t>
      </w:r>
      <w:proofErr w:type="gramStart"/>
      <w:r w:rsidRPr="004A0B7E">
        <w:rPr>
          <w:b/>
          <w:bCs/>
          <w:sz w:val="21"/>
          <w:szCs w:val="21"/>
        </w:rPr>
        <w:t>Disturbance</w:t>
      </w:r>
      <w:r w:rsidRPr="004A0B7E">
        <w:rPr>
          <w:sz w:val="21"/>
          <w:szCs w:val="21"/>
        </w:rPr>
        <w:t xml:space="preserve"> </w:t>
      </w:r>
      <w:r w:rsidR="004A0B7E" w:rsidRPr="004A0B7E">
        <w:rPr>
          <w:sz w:val="21"/>
          <w:szCs w:val="21"/>
        </w:rPr>
        <w:t xml:space="preserve"> </w:t>
      </w:r>
      <w:r w:rsidR="004A0B7E" w:rsidRPr="004A0B7E">
        <w:rPr>
          <w:sz w:val="21"/>
          <w:szCs w:val="21"/>
        </w:rPr>
        <w:tab/>
      </w:r>
      <w:proofErr w:type="gramEnd"/>
      <w:r w:rsidRPr="004A0B7E">
        <w:rPr>
          <w:sz w:val="21"/>
          <w:szCs w:val="21"/>
        </w:rPr>
        <w:t xml:space="preserve">Any penetration of the ground, regardless of depth, using a tool, plant or other object, such as fence standard or post.  </w:t>
      </w:r>
    </w:p>
    <w:p w14:paraId="1D9BFB78" w14:textId="40983ECD" w:rsidR="0037469A" w:rsidRPr="004E2A2A" w:rsidRDefault="004A0B7E" w:rsidP="004E2A2A">
      <w:pPr>
        <w:pStyle w:val="Subtitle"/>
        <w:rPr>
          <w:rStyle w:val="IntenseEmphasis"/>
          <w:color w:val="auto"/>
          <w:sz w:val="21"/>
          <w:szCs w:val="21"/>
        </w:rPr>
      </w:pPr>
      <w:r w:rsidRPr="004E2A2A">
        <w:rPr>
          <w:rStyle w:val="IntenseEmphasis"/>
          <w:color w:val="auto"/>
          <w:sz w:val="21"/>
          <w:szCs w:val="21"/>
        </w:rPr>
        <w:t xml:space="preserve">Responsibilities </w:t>
      </w:r>
    </w:p>
    <w:p w14:paraId="0207DF0F" w14:textId="622AC387" w:rsidR="0037469A" w:rsidRPr="004A0B7E" w:rsidRDefault="0037469A" w:rsidP="0037469A">
      <w:pPr>
        <w:rPr>
          <w:b/>
          <w:bCs/>
          <w:sz w:val="21"/>
          <w:szCs w:val="21"/>
        </w:rPr>
      </w:pPr>
      <w:r w:rsidRPr="004A0B7E">
        <w:rPr>
          <w:b/>
          <w:bCs/>
          <w:sz w:val="21"/>
          <w:szCs w:val="21"/>
        </w:rPr>
        <w:t>Underground Services Precautions</w:t>
      </w:r>
    </w:p>
    <w:p w14:paraId="2996C754" w14:textId="2EA3CBF3" w:rsidR="0037469A" w:rsidRPr="004A0B7E" w:rsidRDefault="0037469A" w:rsidP="0037469A">
      <w:pPr>
        <w:rPr>
          <w:sz w:val="21"/>
          <w:szCs w:val="21"/>
        </w:rPr>
      </w:pPr>
      <w:r w:rsidRPr="004A0B7E">
        <w:rPr>
          <w:sz w:val="21"/>
          <w:szCs w:val="21"/>
        </w:rPr>
        <w:t xml:space="preserve">Safe Work Methods for ground disturbance where buried services may be present must, so far as is reasonably practicable, include: </w:t>
      </w:r>
    </w:p>
    <w:p w14:paraId="18699F56" w14:textId="0C2252F7" w:rsidR="0037469A" w:rsidRPr="004A0B7E" w:rsidRDefault="0037469A" w:rsidP="004A0B7E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Site assessment to check for visible indicators of the presence of underground services (manholes, </w:t>
      </w:r>
      <w:r w:rsidR="004E2A2A" w:rsidRPr="004A0B7E">
        <w:rPr>
          <w:sz w:val="21"/>
          <w:szCs w:val="21"/>
        </w:rPr>
        <w:t>lampposts</w:t>
      </w:r>
      <w:r w:rsidRPr="004A0B7E">
        <w:rPr>
          <w:sz w:val="21"/>
          <w:szCs w:val="21"/>
        </w:rPr>
        <w:t>, house-connections, cabinets, etc</w:t>
      </w:r>
      <w:proofErr w:type="gramStart"/>
      <w:r w:rsidRPr="004A0B7E">
        <w:rPr>
          <w:sz w:val="21"/>
          <w:szCs w:val="21"/>
        </w:rPr>
        <w:t>);</w:t>
      </w:r>
      <w:proofErr w:type="gramEnd"/>
    </w:p>
    <w:p w14:paraId="2712541A" w14:textId="35E1583E" w:rsidR="0037469A" w:rsidRPr="004A0B7E" w:rsidRDefault="0037469A" w:rsidP="004A0B7E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Obtaining current service plans from all relevant asset owners.  This may also identify the need for Close Approach Consent, mandatory stand-over or </w:t>
      </w:r>
      <w:r w:rsidR="004E2A2A" w:rsidRPr="004A0B7E">
        <w:rPr>
          <w:sz w:val="21"/>
          <w:szCs w:val="21"/>
        </w:rPr>
        <w:t>similar.</w:t>
      </w:r>
      <w:r w:rsidRPr="004A0B7E">
        <w:rPr>
          <w:sz w:val="21"/>
          <w:szCs w:val="21"/>
        </w:rPr>
        <w:t xml:space="preserve"> </w:t>
      </w:r>
    </w:p>
    <w:p w14:paraId="05312338" w14:textId="6999969D" w:rsidR="0037469A" w:rsidRPr="004A0B7E" w:rsidRDefault="0037469A" w:rsidP="004A0B7E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Arranging for mark-out of the full scope of the planned excavation, and all buried services, on the ground to identify potential conflict </w:t>
      </w:r>
      <w:r w:rsidR="004E2A2A" w:rsidRPr="004A0B7E">
        <w:rPr>
          <w:sz w:val="21"/>
          <w:szCs w:val="21"/>
        </w:rPr>
        <w:t>points.</w:t>
      </w:r>
    </w:p>
    <w:p w14:paraId="4920D08B" w14:textId="10B05057" w:rsidR="0037469A" w:rsidRPr="004A0B7E" w:rsidRDefault="0037469A" w:rsidP="004A0B7E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Use of Cable Avoidance Tools (CAT), or other detection technology, to assist with locating underground </w:t>
      </w:r>
      <w:r w:rsidR="004E2A2A" w:rsidRPr="004A0B7E">
        <w:rPr>
          <w:sz w:val="21"/>
          <w:szCs w:val="21"/>
        </w:rPr>
        <w:t>services.</w:t>
      </w:r>
    </w:p>
    <w:p w14:paraId="5F5087E7" w14:textId="5706C18B" w:rsidR="0037469A" w:rsidRPr="004A0B7E" w:rsidRDefault="004E2A2A" w:rsidP="004A0B7E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4A0B7E">
        <w:rPr>
          <w:sz w:val="21"/>
          <w:szCs w:val="21"/>
        </w:rPr>
        <w:t>Potholing</w:t>
      </w:r>
      <w:r w:rsidR="0037469A" w:rsidRPr="004A0B7E">
        <w:rPr>
          <w:sz w:val="21"/>
          <w:szCs w:val="21"/>
        </w:rPr>
        <w:t xml:space="preserve"> using hydro-vacuum excavation, or hand-digging with non-conducting tools and wearing PPE including flame-retardant clothing and eye protection, to confirm the location and line of buried services in proximity to the planned excavation</w:t>
      </w:r>
      <w:r>
        <w:rPr>
          <w:sz w:val="21"/>
          <w:szCs w:val="21"/>
        </w:rPr>
        <w:t>.</w:t>
      </w:r>
    </w:p>
    <w:p w14:paraId="68EF475E" w14:textId="77777777" w:rsidR="0037469A" w:rsidRPr="004A0B7E" w:rsidRDefault="0037469A" w:rsidP="0037469A">
      <w:pPr>
        <w:rPr>
          <w:sz w:val="21"/>
          <w:szCs w:val="21"/>
        </w:rPr>
      </w:pPr>
      <w:r w:rsidRPr="004A0B7E">
        <w:rPr>
          <w:sz w:val="21"/>
          <w:szCs w:val="21"/>
        </w:rPr>
        <w:t>General precautions when doing excavation work around underground services include:</w:t>
      </w:r>
    </w:p>
    <w:p w14:paraId="3E91D0DE" w14:textId="6DAA6B7D" w:rsidR="0037469A" w:rsidRPr="004A0B7E" w:rsidRDefault="0037469A" w:rsidP="004A0B7E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4A0B7E">
        <w:rPr>
          <w:sz w:val="21"/>
          <w:szCs w:val="21"/>
        </w:rPr>
        <w:t>Be wary of the potential exposure to LIVE services when digging, even though nothing is shown on plans. This includes even the simplest of routine or repetitive jobs.</w:t>
      </w:r>
    </w:p>
    <w:p w14:paraId="7B06A7D1" w14:textId="3920A6B4" w:rsidR="0037469A" w:rsidRPr="004A0B7E" w:rsidRDefault="0037469A" w:rsidP="004A0B7E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4A0B7E">
        <w:rPr>
          <w:sz w:val="21"/>
          <w:szCs w:val="21"/>
        </w:rPr>
        <w:t>Never assume that services have been installed at the recommended depth. They are often shallower.</w:t>
      </w:r>
    </w:p>
    <w:p w14:paraId="4960EE97" w14:textId="36698BCE" w:rsidR="0037469A" w:rsidRPr="004A0B7E" w:rsidRDefault="0037469A" w:rsidP="004A0B7E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4A0B7E">
        <w:rPr>
          <w:sz w:val="21"/>
          <w:szCs w:val="21"/>
        </w:rPr>
        <w:t>Don’t rely on finding marker tape or protective covers, and if found do not assume the service will be located directly below.</w:t>
      </w:r>
    </w:p>
    <w:p w14:paraId="40CD24B7" w14:textId="0E932E15" w:rsidR="0037469A" w:rsidRPr="004A0B7E" w:rsidRDefault="0037469A" w:rsidP="004A0B7E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Keep a clear lookout for signs of cables and gas </w:t>
      </w:r>
      <w:r w:rsidR="004E2A2A" w:rsidRPr="004A0B7E">
        <w:rPr>
          <w:sz w:val="21"/>
          <w:szCs w:val="21"/>
        </w:rPr>
        <w:t>pipelines</w:t>
      </w:r>
      <w:r w:rsidRPr="004A0B7E">
        <w:rPr>
          <w:sz w:val="21"/>
          <w:szCs w:val="21"/>
        </w:rPr>
        <w:t xml:space="preserve"> or laterals.</w:t>
      </w:r>
    </w:p>
    <w:p w14:paraId="32CAE79C" w14:textId="77777777" w:rsidR="004A0B7E" w:rsidRPr="004E2A2A" w:rsidRDefault="004A0B7E" w:rsidP="004E2A2A">
      <w:pPr>
        <w:pStyle w:val="Subtitle"/>
        <w:rPr>
          <w:rStyle w:val="IntenseEmphasis"/>
          <w:i w:val="0"/>
          <w:iCs w:val="0"/>
          <w:color w:val="5A5A5A" w:themeColor="text1" w:themeTint="A5"/>
        </w:rPr>
      </w:pPr>
    </w:p>
    <w:p w14:paraId="6CE113E1" w14:textId="49573CF9" w:rsidR="0037469A" w:rsidRPr="004E2A2A" w:rsidRDefault="0037469A" w:rsidP="004E2A2A">
      <w:pPr>
        <w:pStyle w:val="Subtitle"/>
        <w:rPr>
          <w:rStyle w:val="IntenseEmphasis"/>
          <w:i w:val="0"/>
          <w:iCs w:val="0"/>
          <w:color w:val="5A5A5A" w:themeColor="text1" w:themeTint="A5"/>
        </w:rPr>
      </w:pPr>
      <w:r w:rsidRPr="004E2A2A">
        <w:rPr>
          <w:rStyle w:val="IntenseEmphasis"/>
          <w:i w:val="0"/>
          <w:iCs w:val="0"/>
          <w:color w:val="5A5A5A" w:themeColor="text1" w:themeTint="A5"/>
        </w:rPr>
        <w:t>This standard is written with reference to:</w:t>
      </w:r>
    </w:p>
    <w:p w14:paraId="11C47DFA" w14:textId="2E74E9BE" w:rsidR="0037469A" w:rsidRPr="004A0B7E" w:rsidRDefault="0037469A" w:rsidP="004A0B7E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4A0B7E">
        <w:rPr>
          <w:sz w:val="21"/>
          <w:szCs w:val="21"/>
        </w:rPr>
        <w:t xml:space="preserve">WorkSafe New Zealand Good Practice Guidelines for Excavation </w:t>
      </w:r>
      <w:proofErr w:type="gramStart"/>
      <w:r w:rsidRPr="004A0B7E">
        <w:rPr>
          <w:sz w:val="21"/>
          <w:szCs w:val="21"/>
        </w:rPr>
        <w:t>Safety;</w:t>
      </w:r>
      <w:proofErr w:type="gramEnd"/>
    </w:p>
    <w:p w14:paraId="34592514" w14:textId="409CB909" w:rsidR="0037469A" w:rsidRPr="004A0B7E" w:rsidRDefault="0037469A" w:rsidP="004A0B7E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4A0B7E">
        <w:rPr>
          <w:sz w:val="21"/>
          <w:szCs w:val="21"/>
        </w:rPr>
        <w:t>NZUAG National Code for Utilities Access to the Transport Corridors; and</w:t>
      </w:r>
    </w:p>
    <w:p w14:paraId="525089CF" w14:textId="44F1E991" w:rsidR="0037469A" w:rsidRPr="004A0B7E" w:rsidRDefault="0037469A" w:rsidP="004A0B7E">
      <w:pPr>
        <w:pStyle w:val="ListParagraph"/>
        <w:numPr>
          <w:ilvl w:val="0"/>
          <w:numId w:val="4"/>
        </w:numPr>
        <w:rPr>
          <w:sz w:val="21"/>
          <w:szCs w:val="21"/>
        </w:rPr>
      </w:pPr>
      <w:r w:rsidRPr="004A0B7E">
        <w:rPr>
          <w:sz w:val="21"/>
          <w:szCs w:val="21"/>
        </w:rPr>
        <w:t>New Zealand Electrical Code of Practice (ECP) 34 – Electrical Safe Distances.</w:t>
      </w:r>
    </w:p>
    <w:sectPr w:rsidR="0037469A" w:rsidRPr="004A0B7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193E1" w14:textId="77777777" w:rsidR="0037469A" w:rsidRDefault="0037469A" w:rsidP="0037469A">
      <w:pPr>
        <w:spacing w:after="0" w:line="240" w:lineRule="auto"/>
      </w:pPr>
      <w:r>
        <w:separator/>
      </w:r>
    </w:p>
  </w:endnote>
  <w:endnote w:type="continuationSeparator" w:id="0">
    <w:p w14:paraId="4B36E7B8" w14:textId="77777777" w:rsidR="0037469A" w:rsidRDefault="0037469A" w:rsidP="00374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D44A5" w14:textId="77777777" w:rsidR="0037469A" w:rsidRDefault="0037469A" w:rsidP="0037469A">
      <w:pPr>
        <w:spacing w:after="0" w:line="240" w:lineRule="auto"/>
      </w:pPr>
      <w:r>
        <w:separator/>
      </w:r>
    </w:p>
  </w:footnote>
  <w:footnote w:type="continuationSeparator" w:id="0">
    <w:p w14:paraId="63B7C067" w14:textId="77777777" w:rsidR="0037469A" w:rsidRDefault="0037469A" w:rsidP="00374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A08C9" w14:textId="5942C2CB" w:rsidR="0037469A" w:rsidRPr="004E2A2A" w:rsidRDefault="004E2A2A" w:rsidP="004E2A2A">
    <w:pPr>
      <w:pStyle w:val="Header"/>
      <w:jc w:val="right"/>
      <w:rPr>
        <w:i/>
        <w:iCs/>
        <w:color w:val="5B9BD5" w:themeColor="accent5"/>
      </w:rPr>
    </w:pPr>
    <w:r w:rsidRPr="004E2A2A">
      <w:rPr>
        <w:i/>
        <w:iCs/>
        <w:color w:val="5B9BD5" w:themeColor="accent5"/>
      </w:rPr>
      <w:t>Insert Company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40652"/>
    <w:multiLevelType w:val="hybridMultilevel"/>
    <w:tmpl w:val="425C4138"/>
    <w:lvl w:ilvl="0" w:tplc="87D457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67835"/>
    <w:multiLevelType w:val="hybridMultilevel"/>
    <w:tmpl w:val="144A9B0A"/>
    <w:lvl w:ilvl="0" w:tplc="87D457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A2CDB"/>
    <w:multiLevelType w:val="hybridMultilevel"/>
    <w:tmpl w:val="F340619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73AB9"/>
    <w:multiLevelType w:val="hybridMultilevel"/>
    <w:tmpl w:val="1F3457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9A"/>
    <w:rsid w:val="0037469A"/>
    <w:rsid w:val="004A0B7E"/>
    <w:rsid w:val="004E2A2A"/>
    <w:rsid w:val="00A7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1F72B6"/>
  <w15:chartTrackingRefBased/>
  <w15:docId w15:val="{E85D1D97-8BD3-4285-9AD8-D6E61186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69A"/>
  </w:style>
  <w:style w:type="paragraph" w:styleId="Footer">
    <w:name w:val="footer"/>
    <w:basedOn w:val="Normal"/>
    <w:link w:val="FooterChar"/>
    <w:uiPriority w:val="99"/>
    <w:unhideWhenUsed/>
    <w:rsid w:val="00374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69A"/>
  </w:style>
  <w:style w:type="paragraph" w:customStyle="1" w:styleId="DocumentTitle">
    <w:name w:val="Document Title"/>
    <w:basedOn w:val="Normal"/>
    <w:qFormat/>
    <w:rsid w:val="0037469A"/>
    <w:pPr>
      <w:spacing w:before="120" w:after="120" w:line="240" w:lineRule="auto"/>
      <w:jc w:val="right"/>
    </w:pPr>
    <w:rPr>
      <w:rFonts w:ascii="Arial" w:eastAsia="Times New Roman" w:hAnsi="Arial" w:cs="Arial"/>
      <w:b/>
      <w:sz w:val="32"/>
      <w:szCs w:val="36"/>
      <w:lang w:eastAsia="en-AU"/>
    </w:rPr>
  </w:style>
  <w:style w:type="paragraph" w:styleId="ListParagraph">
    <w:name w:val="List Paragraph"/>
    <w:basedOn w:val="Normal"/>
    <w:uiPriority w:val="34"/>
    <w:qFormat/>
    <w:rsid w:val="004A0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B7E"/>
    <w:rPr>
      <w:i/>
      <w:iCs/>
      <w:color w:val="4472C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E2A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A2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E2A2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349</Words>
  <Characters>1995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2022-08-10T21:17:00Z</dcterms:created>
  <dcterms:modified xsi:type="dcterms:W3CDTF">2022-09-30T20:15:00Z</dcterms:modified>
</cp:coreProperties>
</file>